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简体" w:hAnsi="方正小标宋简体" w:eastAsia="方正小标宋简体" w:cs="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default"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US" w:eastAsia="zh-CN"/>
        </w:rPr>
        <w:t>临汾市耕地和永久基本农田划定成果核实处置工作项目</w:t>
      </w:r>
      <w:r>
        <w:rPr>
          <w:rFonts w:hint="default" w:ascii="方正小标宋简体" w:hAnsi="方正小标宋简体" w:eastAsia="方正小标宋简体" w:cs="方正小标宋简体"/>
          <w:sz w:val="44"/>
          <w:szCs w:val="44"/>
          <w:lang w:val="en"/>
        </w:rPr>
        <w:t>公开选择政府采购代理机构公</w:t>
      </w:r>
      <w:r>
        <w:rPr>
          <w:rFonts w:hint="eastAsia" w:ascii="方正小标宋简体" w:hAnsi="方正小标宋简体" w:eastAsia="方正小标宋简体" w:cs="方正小标宋简体"/>
          <w:sz w:val="44"/>
          <w:szCs w:val="44"/>
          <w:lang w:val="en-US" w:eastAsia="zh-CN"/>
        </w:rPr>
        <w:t xml:space="preserve">  </w:t>
      </w:r>
      <w:r>
        <w:rPr>
          <w:rFonts w:hint="default" w:ascii="方正小标宋简体" w:hAnsi="方正小标宋简体" w:eastAsia="方正小标宋简体" w:cs="方正小标宋简体"/>
          <w:sz w:val="44"/>
          <w:szCs w:val="44"/>
          <w:lang w:val="en"/>
        </w:rPr>
        <w:t>告</w:t>
      </w:r>
    </w:p>
    <w:p>
      <w:pPr>
        <w:pStyle w:val="2"/>
        <w:jc w:val="center"/>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临汾市耕地和永久基本农田划定成果核实处置工作项目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2023年11月3日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宋体" w:hAnsi="宋体" w:eastAsia="宋体" w:cs="宋体"/>
          <w:b w:val="0"/>
          <w:bCs w:val="0"/>
          <w:color w:val="auto"/>
          <w:sz w:val="28"/>
          <w:szCs w:val="28"/>
          <w:highlight w:val="none"/>
          <w:lang w:val="en-US" w:eastAsia="zh-CN"/>
        </w:rPr>
        <w:t>临汾市耕地和永久基本农田划定成果核实处置工作</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4"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二零二三年十一月三日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eastAsia" w:ascii="仿宋_GB2312" w:hAnsi="仿宋_GB2312" w:eastAsia="仿宋_GB2312" w:cs="仿宋_GB2312"/>
          <w:b w:val="0"/>
          <w:bCs w:val="0"/>
          <w:spacing w:val="10"/>
          <w:sz w:val="28"/>
          <w:szCs w:val="28"/>
          <w:highlight w:val="none"/>
          <w:lang w:val="en-US" w:eastAsia="zh-CN"/>
        </w:rPr>
        <w:t>[2023]32</w:t>
      </w:r>
      <w:r>
        <w:rPr>
          <w:rFonts w:hint="eastAsia" w:ascii="Times New Roman" w:hAnsi="Times New Roman" w:eastAsia="仿宋" w:cs="Times New Roman"/>
          <w:b w:val="0"/>
          <w:bCs w:val="0"/>
          <w:spacing w:val="10"/>
          <w:sz w:val="28"/>
          <w:szCs w:val="28"/>
          <w:highlight w:val="none"/>
          <w:lang w:val="en-US" w:eastAsia="zh-CN"/>
        </w:rPr>
        <w:t>号</w:t>
      </w:r>
      <w:r>
        <w:rPr>
          <w:rFonts w:hint="default" w:ascii="Times New Roman" w:hAnsi="Times New Roman" w:eastAsia="仿宋" w:cs="Times New Roman"/>
          <w:b w:val="0"/>
          <w:bCs w:val="0"/>
          <w:spacing w:val="10"/>
          <w:sz w:val="28"/>
          <w:szCs w:val="28"/>
          <w:highlight w:val="none"/>
          <w:lang w:val="en-US" w:eastAsia="zh-CN"/>
        </w:rPr>
        <w:t>研究决定，</w:t>
      </w:r>
      <w:r>
        <w:rPr>
          <w:rFonts w:hint="eastAsia" w:ascii="Times New Roman" w:hAnsi="Times New Roman" w:eastAsia="仿宋" w:cs="Times New Roman"/>
          <w:b w:val="0"/>
          <w:bCs w:val="0"/>
          <w:spacing w:val="10"/>
          <w:sz w:val="28"/>
          <w:szCs w:val="28"/>
          <w:highlight w:val="none"/>
          <w:lang w:val="en-US" w:eastAsia="zh-CN"/>
        </w:rPr>
        <w:t>拟对临汾市耕地和永久基本农田划定成果核实处置工作政府采购代理机构进行竞争性磋商，兹邀请符合条件的采购代理机构参加密封投标。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报名时间</w:t>
            </w:r>
          </w:p>
        </w:tc>
        <w:tc>
          <w:tcPr>
            <w:tcW w:w="5988"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2023年11月3日8时—2023年11月9日18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5个</w:t>
            </w:r>
            <w:r>
              <w:rPr>
                <w:rFonts w:hint="eastAsia" w:ascii="仿宋_GB2312" w:hAnsi="仿宋_GB2312" w:eastAsia="仿宋_GB2312" w:cs="仿宋_GB2312"/>
                <w:b w:val="0"/>
                <w:bCs w:val="0"/>
                <w:spacing w:val="0"/>
                <w:kern w:val="0"/>
                <w:sz w:val="28"/>
                <w:szCs w:val="28"/>
                <w:highlight w:val="none"/>
                <w:lang w:eastAsia="zh-CN"/>
              </w:rPr>
              <w:t xml:space="preserve">   </w:t>
            </w:r>
            <w:r>
              <w:rPr>
                <w:rFonts w:hint="eastAsia" w:ascii="仿宋_GB2312" w:hAnsi="仿宋_GB2312" w:eastAsia="仿宋_GB2312" w:cs="仿宋_GB2312"/>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zh-CN" w:eastAsia="zh-CN"/>
              </w:rPr>
            </w:pPr>
            <w:r>
              <w:rPr>
                <w:rFonts w:hint="eastAsia" w:ascii="仿宋_GB2312" w:hAnsi="仿宋_GB2312" w:eastAsia="仿宋_GB2312" w:cs="仿宋_GB2312"/>
                <w:b w:val="0"/>
                <w:bCs w:val="0"/>
                <w:spacing w:val="0"/>
                <w:kern w:val="0"/>
                <w:sz w:val="28"/>
                <w:szCs w:val="28"/>
                <w:highlight w:val="none"/>
                <w:lang w:val="en-US" w:eastAsia="zh-CN"/>
              </w:rPr>
              <w:t>A.</w:t>
            </w:r>
            <w:r>
              <w:rPr>
                <w:rFonts w:hint="eastAsia" w:ascii="仿宋_GB2312" w:hAnsi="仿宋_GB2312" w:eastAsia="仿宋_GB2312" w:cs="仿宋_GB2312"/>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zh-CN" w:eastAsia="zh-CN"/>
              </w:rPr>
              <w:t>以上所有</w:t>
            </w:r>
            <w:r>
              <w:rPr>
                <w:rFonts w:hint="eastAsia" w:ascii="仿宋_GB2312" w:hAnsi="仿宋_GB2312" w:eastAsia="仿宋_GB2312" w:cs="仿宋_GB2312"/>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color w:val="FF0000"/>
                <w:spacing w:val="0"/>
                <w:kern w:val="0"/>
                <w:sz w:val="28"/>
                <w:szCs w:val="28"/>
                <w:highlight w:val="none"/>
                <w:u w:val="single"/>
                <w:lang w:val="en-US" w:eastAsia="zh-CN"/>
              </w:rPr>
              <w:t>214</w:t>
            </w:r>
            <w:r>
              <w:rPr>
                <w:rFonts w:hint="eastAsia" w:ascii="仿宋_GB2312" w:hAnsi="仿宋_GB2312" w:eastAsia="仿宋_GB2312" w:cs="仿宋_GB2312"/>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2023年</w:t>
            </w:r>
            <w:r>
              <w:rPr>
                <w:rFonts w:hint="eastAsia" w:ascii="仿宋_GB2312" w:hAnsi="仿宋_GB2312" w:eastAsia="仿宋_GB2312" w:cs="仿宋_GB2312"/>
                <w:b w:val="0"/>
                <w:bCs w:val="0"/>
                <w:color w:val="FF0000"/>
                <w:spacing w:val="0"/>
                <w:kern w:val="0"/>
                <w:sz w:val="28"/>
                <w:szCs w:val="28"/>
                <w:highlight w:val="none"/>
                <w:lang w:val="en-US" w:eastAsia="zh-CN"/>
              </w:rPr>
              <w:t xml:space="preserve"> 11月10日</w:t>
            </w:r>
            <w:r>
              <w:rPr>
                <w:rFonts w:hint="eastAsia" w:ascii="仿宋_GB2312" w:hAnsi="仿宋_GB2312" w:eastAsia="仿宋_GB2312" w:cs="仿宋_GB2312"/>
                <w:b w:val="0"/>
                <w:bCs w:val="0"/>
                <w:color w:val="FF0000"/>
                <w:spacing w:val="0"/>
                <w:kern w:val="0"/>
                <w:sz w:val="28"/>
                <w:szCs w:val="28"/>
                <w:highlight w:val="none"/>
                <w:lang w:eastAsia="zh-CN"/>
              </w:rPr>
              <w:t>10</w:t>
            </w:r>
            <w:r>
              <w:rPr>
                <w:rFonts w:hint="eastAsia" w:ascii="仿宋_GB2312" w:hAnsi="仿宋_GB2312" w:eastAsia="仿宋_GB2312" w:cs="仿宋_GB2312"/>
                <w:b w:val="0"/>
                <w:bCs w:val="0"/>
                <w:color w:val="FF0000"/>
                <w:spacing w:val="0"/>
                <w:kern w:val="0"/>
                <w:sz w:val="28"/>
                <w:szCs w:val="28"/>
                <w:highlight w:val="none"/>
                <w:lang w:val="en-US" w:eastAsia="zh-CN"/>
              </w:rPr>
              <w:t>时</w:t>
            </w:r>
            <w:r>
              <w:rPr>
                <w:rFonts w:hint="eastAsia" w:ascii="仿宋_GB2312" w:hAnsi="仿宋_GB2312" w:eastAsia="仿宋_GB2312" w:cs="仿宋_GB2312"/>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临汾市规划和自然资源局</w:t>
            </w:r>
            <w:r>
              <w:rPr>
                <w:rFonts w:hint="eastAsia" w:ascii="仿宋_GB2312" w:hAnsi="仿宋_GB2312" w:eastAsia="仿宋_GB2312" w:cs="仿宋_GB2312"/>
                <w:b w:val="0"/>
                <w:bCs w:val="0"/>
                <w:spacing w:val="0"/>
                <w:kern w:val="0"/>
                <w:sz w:val="28"/>
                <w:szCs w:val="28"/>
                <w:highlight w:val="none"/>
                <w:u w:val="single"/>
                <w:lang w:eastAsia="zh-CN"/>
              </w:rPr>
              <w:t>5</w:t>
            </w:r>
            <w:r>
              <w:rPr>
                <w:rFonts w:hint="eastAsia" w:ascii="仿宋_GB2312" w:hAnsi="仿宋_GB2312" w:eastAsia="仿宋_GB2312" w:cs="仿宋_GB2312"/>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bidi="ar-SA"/>
              </w:rPr>
            </w:pPr>
            <w:r>
              <w:rPr>
                <w:rFonts w:hint="eastAsia" w:ascii="仿宋_GB2312" w:hAnsi="仿宋_GB2312" w:eastAsia="仿宋_GB2312" w:cs="仿宋_GB2312"/>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rPr>
              <w:t>确定</w:t>
            </w:r>
            <w:r>
              <w:rPr>
                <w:rFonts w:hint="eastAsia" w:ascii="仿宋_GB2312" w:hAnsi="仿宋_GB2312" w:eastAsia="仿宋_GB2312" w:cs="仿宋_GB2312"/>
                <w:b w:val="0"/>
                <w:bCs w:val="0"/>
                <w:spacing w:val="0"/>
                <w:kern w:val="0"/>
                <w:sz w:val="28"/>
                <w:szCs w:val="28"/>
                <w:highlight w:val="none"/>
                <w:lang w:val="en-US" w:eastAsia="zh-CN"/>
              </w:rPr>
              <w:t>代理机构</w:t>
            </w:r>
            <w:r>
              <w:rPr>
                <w:rFonts w:hint="eastAsia" w:ascii="仿宋_GB2312" w:hAnsi="仿宋_GB2312" w:eastAsia="仿宋_GB2312" w:cs="仿宋_GB2312"/>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eastAsia" w:ascii="仿宋_GB2312" w:hAnsi="仿宋_GB2312" w:eastAsia="仿宋_GB2312" w:cs="仿宋_GB2312"/>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color w:val="FF0000"/>
                <w:spacing w:val="0"/>
                <w:kern w:val="0"/>
                <w:sz w:val="28"/>
                <w:szCs w:val="28"/>
                <w:highlight w:val="none"/>
                <w:lang w:val="en-US" w:eastAsia="zh-CN"/>
              </w:rPr>
              <w:t xml:space="preserve">0357-2223617   </w:t>
            </w:r>
            <w:r>
              <w:rPr>
                <w:rFonts w:hint="eastAsia" w:ascii="仿宋_GB2312" w:hAnsi="仿宋_GB2312" w:eastAsia="仿宋_GB2312" w:cs="仿宋_GB2312"/>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十一</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三</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一、总则</w:t>
      </w:r>
      <w:bookmarkEnd w:id="0"/>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1.适用范围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本磋商文件适用于本次磋商活动的全过程。</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2.定义</w:t>
      </w:r>
    </w:p>
    <w:p>
      <w:pPr>
        <w:pStyle w:val="9"/>
        <w:numPr>
          <w:ilvl w:val="0"/>
          <w:numId w:val="0"/>
        </w:numPr>
        <w:snapToGrid w:val="0"/>
        <w:spacing w:after="0" w:line="500" w:lineRule="exact"/>
        <w:ind w:firstLine="562"/>
        <w:textAlignment w:val="auto"/>
        <w:rPr>
          <w:rFonts w:hint="eastAsia"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2.1采购人：临汾市规划和自然资源</w:t>
      </w:r>
      <w:r>
        <w:rPr>
          <w:rFonts w:hint="eastAsia"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局</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2.2代理机构：是指符合本磋商文件各项规定并参加投标的采购代理机构。</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2.3磋商文件：是指采购人按照有关规定，对招标代理机构代理该项目招标提出的资格条件、评审标准等要求的格式文件。</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2.4响应文件：是指代理机构</w:t>
      </w:r>
      <w:r>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t>为响应</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lang w:val="zh-CN" w:eastAsia="zh-CN"/>
          <w14:textFill>
            <w14:solidFill>
              <w14:schemeClr w14:val="tx1"/>
            </w14:solidFill>
          </w14:textFill>
        </w:rPr>
        <w:t>文件的条件和要求，按规定格式编制的文件。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.合格</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pacing w:val="0"/>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pacing w:val="0"/>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pacing w:val="0"/>
          <w:kern w:val="0"/>
          <w:sz w:val="28"/>
          <w:szCs w:val="28"/>
          <w:highlight w:val="none"/>
          <w:lang w:val="en-US" w:eastAsia="zh-CN"/>
          <w14:textFill>
            <w14:solidFill>
              <w14:schemeClr w14:val="tx1"/>
            </w14:solidFill>
          </w14:textFill>
        </w:rPr>
        <w:t>已在中国山西政府采购网采购代理机构名录中登记备案；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具有本项目供应或实施能力，符合、承认并承诺履行本磋商文件各项规定的国内</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均可参加</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小组有权拒绝其本次报价。</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3代理机构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应遵守有关的国家法律、法规和条例，具备《中华人民共和国政府采购法》</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第二十二条之规定</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（1）具有独立承担民事责任的能力；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（2）具有良好的商业信誉和健全的财务会计制度；</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（3）具有履行合同所必需的设备和专业技术能力；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（4）具有依法缴纳税收和社会保障资金的良好记录；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（5）参加此项采购活动前三年内，在经营活动中没有重大违法记录；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（6）法律、行政法规规定的其他条件；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二、磋商文件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.磋商文件的内容</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磋商文件由下列</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部分内容组成：</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bookmarkStart w:id="2" w:name="_Toc175644018"/>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第一部分 磋商公告；</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第二部分 </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须知；</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第三部分 评分</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办法</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第四部分 </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服务内容及要求</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 xml:space="preserve">第五部分 </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三、</w:t>
      </w:r>
      <w:bookmarkEnd w:id="2"/>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的组成及相关要求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所有内容须装订为一册，正本一份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相关科室留存备查</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、副本四份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采购小组人员各一份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要求内容及编排顺序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*报价函（见‘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报价一览表</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*法定代表人身份证明书并附法定代表人身份证复印件（见‘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*法人授权委托书（原件）并附授权代表人身份证复印件（见‘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pacing w:val="0"/>
          <w:kern w:val="0"/>
          <w:sz w:val="28"/>
          <w:szCs w:val="28"/>
          <w:highlight w:val="none"/>
          <w:lang w:val="zh-CN" w:eastAsia="zh-CN"/>
          <w14:textFill>
            <w14:solidFill>
              <w14:schemeClr w14:val="tx1"/>
            </w14:solidFill>
          </w14:textFill>
        </w:rPr>
        <w:t>企业法人营业执照副本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近三年同类项目案例及相关证明资料（复印件须加盖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*上年度具备审计资格的第三方出具的审计报告（复印件须加盖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FF0000"/>
          <w:sz w:val="28"/>
          <w:szCs w:val="28"/>
          <w:highlight w:val="none"/>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FF0000"/>
          <w:sz w:val="28"/>
          <w:szCs w:val="28"/>
          <w:highlight w:val="none"/>
          <w:lang w:val="en-US" w:eastAsia="zh-CN"/>
        </w:rPr>
        <w:t>磋商</w:t>
      </w:r>
      <w:r>
        <w:rPr>
          <w:rFonts w:hint="default" w:ascii="Times New Roman" w:hAnsi="Times New Roman" w:eastAsia="仿宋" w:cs="Times New Roman"/>
          <w:b w:val="0"/>
          <w:bCs w:val="0"/>
          <w:color w:val="FF0000"/>
          <w:sz w:val="28"/>
          <w:szCs w:val="28"/>
          <w:highlight w:val="none"/>
        </w:rPr>
        <w:t>截止日期前</w:t>
      </w:r>
      <w:r>
        <w:rPr>
          <w:rFonts w:hint="default" w:ascii="Times New Roman" w:hAnsi="Times New Roman" w:eastAsia="仿宋" w:cs="Times New Roman"/>
          <w:b w:val="0"/>
          <w:bCs w:val="0"/>
          <w:color w:val="FF0000"/>
          <w:sz w:val="28"/>
          <w:szCs w:val="28"/>
          <w:highlight w:val="none"/>
          <w:lang w:val="en-US" w:eastAsia="zh-CN"/>
        </w:rPr>
        <w:t>代理机构</w:t>
      </w:r>
      <w:r>
        <w:rPr>
          <w:rFonts w:hint="default" w:ascii="Times New Roman" w:hAnsi="Times New Roman" w:eastAsia="仿宋" w:cs="Times New Roman"/>
          <w:b w:val="0"/>
          <w:bCs w:val="0"/>
          <w:color w:val="FF0000"/>
          <w:sz w:val="28"/>
          <w:szCs w:val="28"/>
          <w:highlight w:val="none"/>
        </w:rPr>
        <w:t>最后一次缴纳税收证明（复印件须加盖</w:t>
      </w:r>
      <w:r>
        <w:rPr>
          <w:rFonts w:hint="default" w:ascii="Times New Roman" w:hAnsi="Times New Roman" w:eastAsia="仿宋" w:cs="Times New Roman"/>
          <w:b w:val="0"/>
          <w:bCs w:val="0"/>
          <w:color w:val="FF0000"/>
          <w:sz w:val="28"/>
          <w:szCs w:val="28"/>
          <w:highlight w:val="none"/>
          <w:lang w:val="en-US" w:eastAsia="zh-CN"/>
        </w:rPr>
        <w:t>代理机构</w:t>
      </w:r>
      <w:r>
        <w:rPr>
          <w:rFonts w:hint="default" w:ascii="Times New Roman" w:hAnsi="Times New Roman" w:eastAsia="仿宋" w:cs="Times New Roman"/>
          <w:b w:val="0"/>
          <w:bCs w:val="0"/>
          <w:color w:val="FF0000"/>
          <w:sz w:val="28"/>
          <w:szCs w:val="28"/>
          <w:highlight w:val="none"/>
        </w:rPr>
        <w:t>公章）；</w:t>
      </w:r>
      <w:bookmarkStart w:id="8" w:name="_GoBack"/>
      <w:bookmarkEnd w:id="8"/>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FF0000"/>
          <w:sz w:val="28"/>
          <w:szCs w:val="28"/>
          <w:highlight w:val="none"/>
        </w:rPr>
      </w:pPr>
      <w:r>
        <w:rPr>
          <w:rFonts w:hint="default" w:ascii="Times New Roman" w:hAnsi="Times New Roman" w:eastAsia="仿宋" w:cs="Times New Roman"/>
          <w:b w:val="0"/>
          <w:bCs w:val="0"/>
          <w:color w:val="FF0000"/>
          <w:sz w:val="28"/>
          <w:szCs w:val="28"/>
          <w:highlight w:val="none"/>
        </w:rPr>
        <w:t>*</w:t>
      </w:r>
      <w:r>
        <w:rPr>
          <w:rFonts w:hint="default" w:ascii="Times New Roman" w:hAnsi="Times New Roman" w:eastAsia="仿宋" w:cs="Times New Roman"/>
          <w:b w:val="0"/>
          <w:bCs w:val="0"/>
          <w:color w:val="FF0000"/>
          <w:sz w:val="28"/>
          <w:szCs w:val="28"/>
          <w:highlight w:val="none"/>
          <w:lang w:val="en-US" w:eastAsia="zh-CN"/>
        </w:rPr>
        <w:t>磋商</w:t>
      </w:r>
      <w:r>
        <w:rPr>
          <w:rFonts w:hint="default" w:ascii="Times New Roman" w:hAnsi="Times New Roman" w:eastAsia="仿宋" w:cs="Times New Roman"/>
          <w:b w:val="0"/>
          <w:bCs w:val="0"/>
          <w:color w:val="FF0000"/>
          <w:sz w:val="28"/>
          <w:szCs w:val="28"/>
          <w:highlight w:val="none"/>
        </w:rPr>
        <w:t>截止日期前</w:t>
      </w:r>
      <w:r>
        <w:rPr>
          <w:rFonts w:hint="default" w:ascii="Times New Roman" w:hAnsi="Times New Roman" w:eastAsia="仿宋" w:cs="Times New Roman"/>
          <w:b w:val="0"/>
          <w:bCs w:val="0"/>
          <w:color w:val="FF0000"/>
          <w:sz w:val="28"/>
          <w:szCs w:val="28"/>
          <w:highlight w:val="none"/>
          <w:lang w:val="en-US" w:eastAsia="zh-CN"/>
        </w:rPr>
        <w:t>代理机构</w:t>
      </w:r>
      <w:r>
        <w:rPr>
          <w:rFonts w:hint="default" w:ascii="Times New Roman" w:hAnsi="Times New Roman" w:eastAsia="仿宋" w:cs="Times New Roman"/>
          <w:b w:val="0"/>
          <w:bCs w:val="0"/>
          <w:color w:val="FF0000"/>
          <w:sz w:val="28"/>
          <w:szCs w:val="28"/>
          <w:highlight w:val="none"/>
        </w:rPr>
        <w:t>最后一次缴纳社保证明（复印件须加盖</w:t>
      </w:r>
      <w:r>
        <w:rPr>
          <w:rFonts w:hint="default" w:ascii="Times New Roman" w:hAnsi="Times New Roman" w:eastAsia="仿宋" w:cs="Times New Roman"/>
          <w:b w:val="0"/>
          <w:bCs w:val="0"/>
          <w:color w:val="FF0000"/>
          <w:sz w:val="28"/>
          <w:szCs w:val="28"/>
          <w:highlight w:val="none"/>
          <w:lang w:val="en-US" w:eastAsia="zh-CN"/>
        </w:rPr>
        <w:t>代理机构</w:t>
      </w:r>
      <w:r>
        <w:rPr>
          <w:rFonts w:hint="default" w:ascii="Times New Roman" w:hAnsi="Times New Roman" w:eastAsia="仿宋" w:cs="Times New Roman"/>
          <w:b w:val="0"/>
          <w:bCs w:val="0"/>
          <w:color w:val="FF000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简况；</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认为需要提供的其他商务</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技术</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材料。</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规格幅面（A4），正文使用仿宋体四号字（正本逐页加盖公章），按照磋</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商文件所规定的内容顺序，统一编目、编页码装订（</w:t>
      </w:r>
      <w:r>
        <w:rPr>
          <w:rFonts w:hint="default" w:ascii="Times New Roman" w:hAnsi="Times New Roman" w:eastAsia="仿宋" w:cs="Times New Roman"/>
          <w:b w:val="0"/>
          <w:bCs w:val="0"/>
          <w:color w:val="000000" w:themeColor="text1"/>
          <w:sz w:val="28"/>
          <w:szCs w:val="28"/>
          <w:highlight w:val="none"/>
          <w:u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中复印件及彩色宣传资料等均须与</w:t>
      </w:r>
      <w:r>
        <w:rPr>
          <w:rFonts w:hint="default" w:ascii="Times New Roman" w:hAnsi="Times New Roman" w:eastAsia="仿宋" w:cs="Times New Roman"/>
          <w:b w:val="0"/>
          <w:bCs w:val="0"/>
          <w:color w:val="000000" w:themeColor="text1"/>
          <w:sz w:val="28"/>
          <w:szCs w:val="28"/>
          <w:highlight w:val="none"/>
          <w:u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u w:val="none"/>
          <w14:textFill>
            <w14:solidFill>
              <w14:schemeClr w14:val="tx1"/>
            </w14:solidFill>
          </w14:textFill>
        </w:rPr>
        <w:t>正文一起逐页编排页码）。装订须采</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用胶订形式，不得采用活页装订，须编排页码。</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.4报价</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t>本次报价只报《招标代理服务费收费标准》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（计价格</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2002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1980号</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zh-CN"/>
          <w14:textFill>
            <w14:solidFill>
              <w14:schemeClr w14:val="tx1"/>
            </w14:solidFill>
          </w14:textFill>
        </w:rPr>
        <w:t>文件规定的收费标准比例百分数（  X  %）。此处X的取值范围为80—100，应为整数。</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的签署及其他规定</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.1组成</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的各项文件均应遵守本条。</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在</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及相关文件的签订、履行、通知等事项的书面文件中的“单位盖章”、“印章”、“公章”等处均仅指与当事人名称全称相一致的标准公章，不得使用其它（如带有“专用章”等字样）的印章。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应按照磋商文件要求，在每一份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的正本和副本封面下方和其他要求的位置填写</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全称并加盖公章，同时在该处签署法定代表人或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代表的全名或加盖本人签名章。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应按本磋商文件所要求的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的份数提交</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应保证</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副本与正本内容严格一致；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的正</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副</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本必注明“正本”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副本</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字样，并由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授权代表</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签字。</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应字迹清楚、内容齐全、不得涂改或增删。</w:t>
      </w:r>
      <w:bookmarkStart w:id="3" w:name="_Toc175644019"/>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四、</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的递交</w:t>
      </w:r>
      <w:bookmarkEnd w:id="3"/>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的密封及标记</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应按以下方法装袋密封：</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须将</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所有正、副本及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认为有必要提交的其他资料密封于一袋内。封口处应有法定代表人或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代表的签字及</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公章。封皮上写明项目编号、项目名称、</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全称、地址，并注明“</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时启封”字样。</w:t>
      </w:r>
    </w:p>
    <w:p>
      <w:pPr>
        <w:pStyle w:val="9"/>
        <w:snapToGrid w:val="0"/>
        <w:spacing w:after="0" w:line="500" w:lineRule="exact"/>
        <w:ind w:left="562"/>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8</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截止时间</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须按照磋商文件规定的时间、地点送达。在</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截止时间以后送达的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采购人</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拒绝接收。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五、磋商程序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9</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.组建</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w:t>
      </w:r>
    </w:p>
    <w:p>
      <w:pPr>
        <w:pStyle w:val="9"/>
        <w:snapToGrid w:val="0"/>
        <w:spacing w:after="0" w:line="500" w:lineRule="exact"/>
        <w:ind w:firstLine="560" w:firstLineChars="200"/>
        <w:textAlignment w:val="auto"/>
        <w:rPr>
          <w:rFonts w:hint="default" w:ascii="Times New Roman" w:hAnsi="Times New Roman" w:eastAsia="宋体" w:cs="Times New Roman"/>
          <w:b w:val="0"/>
          <w:bCs w:val="0"/>
          <w:color w:val="000000" w:themeColor="text1"/>
          <w:sz w:val="28"/>
          <w:szCs w:val="28"/>
          <w:highlight w:val="none"/>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临汾市规划和自然资源局</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根据有关法律法规和本磋商文件的规定，结合本采购项目的特点组建</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小组，对</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进行评估和比较。</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0</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.符合性审查</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小组须审查每份</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是否实质上响应了磋商文件的要求。包括但不限于：</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（1）报价有效期不足的；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（2）报价项目组织、技术路线、提交成果、人员设备投入等不满足磋商文件中的相关要求和超出采购人可接受的偏差范围的；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（3）未按照磋商文件规定报价的；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（4）不符合磋商文件中有关分包、转包规定的；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附有采购人不能接受的条件；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（6）不符合磋商文件中规定的其他实质性要求。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小组依据磋商文件对已通过资格性审核的各</w:t>
      </w:r>
      <w:r>
        <w:rPr>
          <w:rFonts w:hint="default" w:ascii="Times New Roman" w:hAnsi="Times New Roman" w:eastAsia="仿宋" w:cs="Times New Roman"/>
          <w:b w:val="0"/>
          <w:bCs w:val="0"/>
          <w:color w:val="000000" w:themeColor="text1"/>
          <w:sz w:val="28"/>
          <w:szCs w:val="28"/>
          <w:highlight w:val="none"/>
          <w:lang w:eastAsia="zh-CN"/>
          <w14:textFill>
            <w14:solidFill>
              <w14:schemeClr w14:val="tx1"/>
            </w14:solidFill>
          </w14:textFill>
        </w:rPr>
        <w:t>响应文件</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进行书面审核。</w:t>
      </w:r>
    </w:p>
    <w:p>
      <w:pPr>
        <w:pStyle w:val="9"/>
        <w:snapToGrid w:val="0"/>
        <w:spacing w:after="0" w:line="500" w:lineRule="exact"/>
        <w:ind w:left="562"/>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.确定成交候选人</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.1确定最终报价</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后</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小组采用综合评分法对提交最</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报价的</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的响应文件和最</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终</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报价进行综合评分。</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12.2</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由</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采购小组成员行政科室负责人</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主持，汇总</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采购小组成员</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个人意见，形成</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小组集体推荐意见，</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提出拟选代理机构，并报管理小组同意</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13.成交公示</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13.1采购小组以《成交通知书》的形式通知成交代理机构，并在临汾市规划和自然资源局网站进行公示。</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14.磋商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过程保密</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.1凡是属于审查、澄清、评价和比较报价的有关资料以及授标意向等，均不得向</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或其他与评审无关的人员透露。</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1</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.2在</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磋商</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期间，</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代理机构</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企图影响采购人或</w:t>
      </w: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采购</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保证遵守磋商文件的规定。</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我方完全理解贵方不一定接受最低价的报价或收到的任何报价。</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6.</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我方已详细审核全部磋商文件，包括磋商文件修改书（如有的话）、参考资料及有关附件，确认无误。</w:t>
      </w:r>
    </w:p>
    <w:p>
      <w:pPr>
        <w:pStyle w:val="9"/>
        <w:snapToGrid w:val="0"/>
        <w:spacing w:after="0" w:line="500" w:lineRule="exact"/>
        <w:ind w:firstLine="560" w:firstLineChars="200"/>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仿宋" w:cs="Times New Roman"/>
          <w:b w:val="0"/>
          <w:bCs w:val="0"/>
          <w:color w:val="000000" w:themeColor="text1"/>
          <w:sz w:val="28"/>
          <w:szCs w:val="28"/>
          <w:highlight w:val="none"/>
          <w:lang w:val="en-US" w:eastAsia="zh-CN"/>
          <w14:textFill>
            <w14:solidFill>
              <w14:schemeClr w14:val="tx1"/>
            </w14:solidFill>
          </w14:textFill>
        </w:rPr>
        <w:t>7.</w:t>
      </w:r>
      <w:r>
        <w:rPr>
          <w:rFonts w:hint="default" w:ascii="Times New Roman" w:hAnsi="Times New Roman" w:eastAsia="仿宋" w:cs="Times New Roman"/>
          <w:b w:val="0"/>
          <w:bCs w:val="0"/>
          <w:color w:val="000000" w:themeColor="text1"/>
          <w:sz w:val="28"/>
          <w:szCs w:val="28"/>
          <w:highlight w:val="none"/>
          <w14:textFill>
            <w14:solidFill>
              <w14:schemeClr w14:val="tx1"/>
            </w14:solidFill>
          </w14:textFill>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2"/>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4AB434-E82F-402D-A9CD-A2C4363DF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67F549-6C8E-4D29-81C5-0DEF8DFCE570}"/>
  </w:font>
  <w:font w:name="方正小标宋简体">
    <w:panose1 w:val="02000000000000000000"/>
    <w:charset w:val="86"/>
    <w:family w:val="auto"/>
    <w:pitch w:val="default"/>
    <w:sig w:usb0="00000001" w:usb1="080E0000" w:usb2="00000000" w:usb3="00000000" w:csb0="00040000" w:csb1="00000000"/>
    <w:embedRegular r:id="rId3" w:fontKey="{09A332C7-D268-4D77-ADBE-3B3266FE548D}"/>
  </w:font>
  <w:font w:name="CESI仿宋-GB2312">
    <w:altName w:val="仿宋"/>
    <w:panose1 w:val="02000500000000000000"/>
    <w:charset w:val="86"/>
    <w:family w:val="auto"/>
    <w:pitch w:val="default"/>
    <w:sig w:usb0="00000000" w:usb1="00000000" w:usb2="00000010" w:usb3="00000000" w:csb0="0004000F" w:csb1="00000000"/>
    <w:embedRegular r:id="rId4" w:fontKey="{97BB3A8A-39B9-45AB-B865-2D43C254F9E5}"/>
  </w:font>
  <w:font w:name="仿宋">
    <w:panose1 w:val="02010609060101010101"/>
    <w:charset w:val="86"/>
    <w:family w:val="auto"/>
    <w:pitch w:val="default"/>
    <w:sig w:usb0="800002BF" w:usb1="38CF7CFA" w:usb2="00000016" w:usb3="00000000" w:csb0="00040001" w:csb1="00000000"/>
    <w:embedRegular r:id="rId5" w:fontKey="{420D9912-09F3-4109-AD4F-76FB089DCB27}"/>
  </w:font>
  <w:font w:name="仿宋_GB2312">
    <w:panose1 w:val="02010609030101010101"/>
    <w:charset w:val="86"/>
    <w:family w:val="auto"/>
    <w:pitch w:val="default"/>
    <w:sig w:usb0="00000001" w:usb1="080E0000" w:usb2="00000000" w:usb3="00000000" w:csb0="00040000" w:csb1="00000000"/>
    <w:embedRegular r:id="rId6" w:fontKey="{CF098C6E-8B49-41C2-A1AD-9368997400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7B2792A"/>
    <w:rsid w:val="085555EB"/>
    <w:rsid w:val="0A1A1DA5"/>
    <w:rsid w:val="0B8C1D17"/>
    <w:rsid w:val="12F17AD0"/>
    <w:rsid w:val="14123C72"/>
    <w:rsid w:val="19F663E9"/>
    <w:rsid w:val="1C23CC6E"/>
    <w:rsid w:val="2F486C14"/>
    <w:rsid w:val="36BA2093"/>
    <w:rsid w:val="3DA43295"/>
    <w:rsid w:val="3ED70F6A"/>
    <w:rsid w:val="3F0B3AD6"/>
    <w:rsid w:val="458C131F"/>
    <w:rsid w:val="474F4272"/>
    <w:rsid w:val="485B7CB7"/>
    <w:rsid w:val="48E438FD"/>
    <w:rsid w:val="57416EEC"/>
    <w:rsid w:val="5E236FCF"/>
    <w:rsid w:val="5E4915C3"/>
    <w:rsid w:val="67D57275"/>
    <w:rsid w:val="689B52EA"/>
    <w:rsid w:val="6DA35F6C"/>
    <w:rsid w:val="7452556D"/>
    <w:rsid w:val="7AF996DF"/>
    <w:rsid w:val="7C2154D6"/>
    <w:rsid w:val="7FFDF2D0"/>
    <w:rsid w:val="98FB5723"/>
    <w:rsid w:val="BDBFC3A0"/>
    <w:rsid w:val="DA5ED7B6"/>
    <w:rsid w:val="EBEDDB54"/>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5635</Words>
  <Characters>6194</Characters>
  <Lines>0</Lines>
  <Paragraphs>0</Paragraphs>
  <TotalTime>15</TotalTime>
  <ScaleCrop>false</ScaleCrop>
  <LinksUpToDate>false</LinksUpToDate>
  <CharactersWithSpaces>7241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2020-05-10T14:11:00Z</dcterms:created>
  <dc:creator>User274</dc:creator>
  <cp:lastModifiedBy>上善如水</cp:lastModifiedBy>
  <cp:lastPrinted>2023-11-03T03:48:12Z</cp:lastPrinted>
  <dcterms:modified xsi:type="dcterms:W3CDTF">2023-11-03T04:02:33Z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ED364DB36A5343659A0418FBF0436ABB</vt:lpwstr>
  </property>
</Properties>
</file>